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34" w:rsidRDefault="008A6134" w:rsidP="008A6134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Тематическая консультация </w:t>
      </w:r>
    </w:p>
    <w:p w:rsidR="008A6134" w:rsidRPr="008A6134" w:rsidRDefault="008A6134" w:rsidP="008A6134">
      <w:pPr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8A6134">
        <w:rPr>
          <w:rFonts w:ascii="Times New Roman" w:hAnsi="Times New Roman"/>
          <w:b/>
          <w:i/>
          <w:color w:val="FF0000"/>
          <w:sz w:val="40"/>
          <w:szCs w:val="40"/>
        </w:rPr>
        <w:t>«Сказочные лабиринты игры»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Детство – это слово вызывает у взрослых самые светлые и ностальгические воспоминания. В детстве всегда хватало времени на «бесполезность» и «ничегонеделание», а скучных занятий просто не существовало. А сладкое чувство ежедневных открытий, ощущение сказки и простых радостей того времени. Сейчас наши детские воспоминания накладываются на уже приобретенный жизненный опыт и обогащают само понятие идеального детства.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тогда мы начинаем думать, что знаем, каким именно должно быть детство у наших детей. Но, почему-то мы, взрослые, считаем, что детство должно быть осознанным, наполненными различными полезными вещами: математикой и логикой, иностранными языками и шахматами, информатикой и так далее. Наполняя мир наших детей такими вот полезностями, мы забываем, что оставляем все меньше и меньше времени на то самое сказочно-ностальгическое детство. Конечно, сегодня эта необходимость насыщенного детства продиктована высоким темпом развития общества, требованиями к уровню и качеству образования, да и к обучению в целом. Но мы забываем, что существует тоненький мостик между интересом и необходимостью, детством и школой – и это игра. Игра способна развить личность, используя познавательные естественные способности ребенка. А так же его психологические и физиологические аспекты. К счастью, среди огромного количества развивающих игр, появилась новая особая творческая технология – развивающие игры В.В.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технология рассчитана на детей дошкольного возраста, в ней скомбинированы игра и сказка, а образовательные задачи включены в ход игры. Сказки – это мотивация, способ заинтересовать ребенка. Технология действует безотказно. Взрослый читает сказку ребенку, задает вопросы по ходу чтения, а малыш на эти вопросы отвечает, выполняет задания, решает образовательные задачи.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основе технологии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лежит игра. Игра возбуждает интерес ребенка и всегда сопровождается сказкой. Игры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не просто квадраты, треугольники, </w:t>
      </w:r>
      <w:proofErr w:type="spellStart"/>
      <w:r>
        <w:rPr>
          <w:rFonts w:ascii="Times New Roman" w:hAnsi="Times New Roman"/>
          <w:sz w:val="28"/>
          <w:szCs w:val="28"/>
        </w:rPr>
        <w:t>шнурочки</w:t>
      </w:r>
      <w:proofErr w:type="spellEnd"/>
      <w:r>
        <w:rPr>
          <w:rFonts w:ascii="Times New Roman" w:hAnsi="Times New Roman"/>
          <w:sz w:val="28"/>
          <w:szCs w:val="28"/>
        </w:rPr>
        <w:t xml:space="preserve">, но волшебные льдинки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чудо-цветики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 Игра всегда познавательна: она несет новое знание, формирует навыки, тренирует память, внимание, мелкую моторику и т.д. Игра не имеет жестких правил и условий, она позволяет ребенку придумывать свое, фантазировать, творить.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Вот таков принцип технологии В. В.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: интерес – познание – творчество. Каждую развивающую игру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сопровождает увлекательная сказка, которая помогает ребенку быстрее запоминать цифры, буквы или формы. В сюжете сказки малыш помогает героям, выполняя различные задания и упражнения.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сказочной области Фиолетового Леса есть свои главные герои.</w:t>
      </w:r>
      <w:r>
        <w:rPr>
          <w:noProof/>
        </w:rPr>
        <w:t xml:space="preserve"> 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12192" distB="15748" distL="114300" distR="121031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62103</wp:posOffset>
            </wp:positionV>
            <wp:extent cx="3109341" cy="2192020"/>
            <wp:effectExtent l="19050" t="0" r="0" b="0"/>
            <wp:wrapTight wrapText="bothSides">
              <wp:wrapPolygon edited="0">
                <wp:start x="529" y="0"/>
                <wp:lineTo x="-132" y="1314"/>
                <wp:lineTo x="0" y="21024"/>
                <wp:lineTo x="397" y="21400"/>
                <wp:lineTo x="529" y="21400"/>
                <wp:lineTo x="20909" y="21400"/>
                <wp:lineTo x="21042" y="21400"/>
                <wp:lineTo x="21439" y="21024"/>
                <wp:lineTo x="21571" y="19523"/>
                <wp:lineTo x="21571" y="1314"/>
                <wp:lineTo x="21306" y="188"/>
                <wp:lineTo x="20909" y="0"/>
                <wp:lineTo x="529" y="0"/>
              </wp:wrapPolygon>
            </wp:wrapTight>
            <wp:docPr id="2" name="Рисунок 5" descr="ле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лес.jpg"/>
                    <pic:cNvPicPr>
                      <a:picLocks noGrp="1" noChangeAspect="1"/>
                    </pic:cNvPicPr>
                  </pic:nvPicPr>
                  <pic:blipFill>
                    <a:blip r:embed="rId4"/>
                    <a:srcRect l="7849" r="3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41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Чудесная Поляна Золотых Плодов:  умудренный опытом Паук </w:t>
      </w:r>
      <w:proofErr w:type="spellStart"/>
      <w:r>
        <w:rPr>
          <w:rFonts w:ascii="Times New Roman" w:hAnsi="Times New Roman"/>
          <w:sz w:val="28"/>
          <w:szCs w:val="28"/>
        </w:rPr>
        <w:t>Юк</w:t>
      </w:r>
      <w:proofErr w:type="spellEnd"/>
      <w:r>
        <w:rPr>
          <w:rFonts w:ascii="Times New Roman" w:hAnsi="Times New Roman"/>
          <w:sz w:val="28"/>
          <w:szCs w:val="28"/>
        </w:rPr>
        <w:t xml:space="preserve"> и его внучата </w:t>
      </w:r>
      <w:proofErr w:type="spellStart"/>
      <w:r>
        <w:rPr>
          <w:rFonts w:ascii="Times New Roman" w:hAnsi="Times New Roman"/>
          <w:sz w:val="28"/>
          <w:szCs w:val="28"/>
        </w:rPr>
        <w:t>Паучата</w:t>
      </w:r>
      <w:proofErr w:type="spellEnd"/>
      <w:r>
        <w:rPr>
          <w:rFonts w:ascii="Times New Roman" w:hAnsi="Times New Roman"/>
          <w:sz w:val="28"/>
          <w:szCs w:val="28"/>
        </w:rPr>
        <w:t xml:space="preserve"> («</w:t>
      </w:r>
      <w:proofErr w:type="spellStart"/>
      <w:r>
        <w:rPr>
          <w:rFonts w:ascii="Times New Roman" w:hAnsi="Times New Roman"/>
          <w:sz w:val="28"/>
          <w:szCs w:val="28"/>
        </w:rPr>
        <w:t>Геоконт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Геовизор</w:t>
      </w:r>
      <w:proofErr w:type="spellEnd"/>
      <w:r>
        <w:rPr>
          <w:rFonts w:ascii="Times New Roman" w:hAnsi="Times New Roman"/>
          <w:sz w:val="28"/>
          <w:szCs w:val="28"/>
        </w:rPr>
        <w:t>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/>
          <w:sz w:val="28"/>
          <w:szCs w:val="28"/>
        </w:rPr>
        <w:t>Айс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Незримка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Всюсь</w:t>
      </w:r>
      <w:proofErr w:type="spellEnd"/>
      <w:r>
        <w:rPr>
          <w:rFonts w:ascii="Times New Roman" w:hAnsi="Times New Roman"/>
          <w:sz w:val="28"/>
          <w:szCs w:val="28"/>
        </w:rPr>
        <w:t xml:space="preserve">, Хранитель Озера </w:t>
      </w:r>
      <w:proofErr w:type="spellStart"/>
      <w:r>
        <w:rPr>
          <w:rFonts w:ascii="Times New Roman" w:hAnsi="Times New Roman"/>
          <w:sz w:val="28"/>
          <w:szCs w:val="28"/>
        </w:rPr>
        <w:t>Айс</w:t>
      </w:r>
      <w:proofErr w:type="spellEnd"/>
      <w:r>
        <w:rPr>
          <w:rFonts w:ascii="Times New Roman" w:hAnsi="Times New Roman"/>
          <w:sz w:val="28"/>
          <w:szCs w:val="28"/>
        </w:rPr>
        <w:t xml:space="preserve"> («Прозрачный квадрат», «Прозрачная цифра»);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Цифроцирк</w:t>
      </w:r>
      <w:proofErr w:type="spellEnd"/>
      <w:r>
        <w:rPr>
          <w:rFonts w:ascii="Times New Roman" w:hAnsi="Times New Roman"/>
          <w:sz w:val="28"/>
          <w:szCs w:val="28"/>
        </w:rPr>
        <w:t xml:space="preserve">: его директор </w:t>
      </w:r>
      <w:proofErr w:type="spellStart"/>
      <w:r>
        <w:rPr>
          <w:rFonts w:ascii="Times New Roman" w:hAnsi="Times New Roman"/>
          <w:sz w:val="28"/>
          <w:szCs w:val="28"/>
        </w:rPr>
        <w:t>Магнолик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зверята-цифрята</w:t>
      </w:r>
      <w:proofErr w:type="spellEnd"/>
      <w:r>
        <w:rPr>
          <w:rFonts w:ascii="Times New Roman" w:hAnsi="Times New Roman"/>
          <w:sz w:val="28"/>
          <w:szCs w:val="28"/>
        </w:rPr>
        <w:t xml:space="preserve"> («Волшебная восьмерка», шнур «Затейник»);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Страна </w:t>
      </w:r>
      <w:proofErr w:type="spellStart"/>
      <w:r>
        <w:rPr>
          <w:rFonts w:ascii="Times New Roman" w:hAnsi="Times New Roman"/>
          <w:sz w:val="28"/>
          <w:szCs w:val="28"/>
        </w:rPr>
        <w:t>Муравия</w:t>
      </w:r>
      <w:proofErr w:type="spellEnd"/>
      <w:r>
        <w:rPr>
          <w:rFonts w:ascii="Times New Roman" w:hAnsi="Times New Roman"/>
          <w:sz w:val="28"/>
          <w:szCs w:val="28"/>
        </w:rPr>
        <w:t xml:space="preserve">: ее хозяйка Королева </w:t>
      </w:r>
      <w:proofErr w:type="spellStart"/>
      <w:r>
        <w:rPr>
          <w:rFonts w:ascii="Times New Roman" w:hAnsi="Times New Roman"/>
          <w:sz w:val="28"/>
          <w:szCs w:val="28"/>
        </w:rPr>
        <w:t>Мурана</w:t>
      </w:r>
      <w:proofErr w:type="spellEnd"/>
      <w:r>
        <w:rPr>
          <w:rFonts w:ascii="Times New Roman" w:hAnsi="Times New Roman"/>
          <w:sz w:val="28"/>
          <w:szCs w:val="28"/>
        </w:rPr>
        <w:t xml:space="preserve"> вместе с Муравьем </w:t>
      </w:r>
      <w:proofErr w:type="spellStart"/>
      <w:r>
        <w:rPr>
          <w:rFonts w:ascii="Times New Roman" w:hAnsi="Times New Roman"/>
          <w:sz w:val="28"/>
          <w:szCs w:val="28"/>
        </w:rPr>
        <w:t>Мурашиком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(«Лабиринты букв» - приложение к «</w:t>
      </w:r>
      <w:proofErr w:type="spellStart"/>
      <w:r>
        <w:rPr>
          <w:rFonts w:ascii="Times New Roman" w:hAnsi="Times New Roman"/>
          <w:sz w:val="28"/>
          <w:szCs w:val="28"/>
        </w:rPr>
        <w:t>Игровизору</w:t>
      </w:r>
      <w:proofErr w:type="spellEnd"/>
      <w:r>
        <w:rPr>
          <w:rFonts w:ascii="Times New Roman" w:hAnsi="Times New Roman"/>
          <w:sz w:val="28"/>
          <w:szCs w:val="28"/>
        </w:rPr>
        <w:t>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Поляна Чудесных Цветов: Девочка Долька («Чудо-цветик»);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Ковровая Полянка: Гусеница Фифа и Лопушок;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Чудо-острова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: Пчелка </w:t>
      </w:r>
      <w:proofErr w:type="spellStart"/>
      <w:r>
        <w:rPr>
          <w:rFonts w:ascii="Times New Roman" w:hAnsi="Times New Roman"/>
          <w:sz w:val="28"/>
          <w:szCs w:val="28"/>
        </w:rPr>
        <w:t>Жужа</w:t>
      </w:r>
      <w:proofErr w:type="spellEnd"/>
      <w:r>
        <w:rPr>
          <w:rFonts w:ascii="Times New Roman" w:hAnsi="Times New Roman"/>
          <w:sz w:val="28"/>
          <w:szCs w:val="28"/>
        </w:rPr>
        <w:t xml:space="preserve">, Краб </w:t>
      </w:r>
      <w:proofErr w:type="spellStart"/>
      <w:r>
        <w:rPr>
          <w:rFonts w:ascii="Times New Roman" w:hAnsi="Times New Roman"/>
          <w:sz w:val="28"/>
          <w:szCs w:val="28"/>
        </w:rPr>
        <w:t>Крабыч</w:t>
      </w:r>
      <w:proofErr w:type="spellEnd"/>
      <w:r>
        <w:rPr>
          <w:rFonts w:ascii="Times New Roman" w:hAnsi="Times New Roman"/>
          <w:sz w:val="28"/>
          <w:szCs w:val="28"/>
        </w:rPr>
        <w:t xml:space="preserve">, Галчонок </w:t>
      </w:r>
      <w:proofErr w:type="spellStart"/>
      <w:r>
        <w:rPr>
          <w:rFonts w:ascii="Times New Roman" w:hAnsi="Times New Roman"/>
          <w:sz w:val="28"/>
          <w:szCs w:val="28"/>
        </w:rPr>
        <w:t>Каррчик</w:t>
      </w:r>
      <w:proofErr w:type="spellEnd"/>
      <w:r>
        <w:rPr>
          <w:rFonts w:ascii="Times New Roman" w:hAnsi="Times New Roman"/>
          <w:sz w:val="28"/>
          <w:szCs w:val="28"/>
        </w:rPr>
        <w:t xml:space="preserve">, Медвежонок </w:t>
      </w:r>
      <w:proofErr w:type="spellStart"/>
      <w:r>
        <w:rPr>
          <w:rFonts w:ascii="Times New Roman" w:hAnsi="Times New Roman"/>
          <w:sz w:val="28"/>
          <w:szCs w:val="28"/>
        </w:rPr>
        <w:t>Мишик</w:t>
      </w:r>
      <w:proofErr w:type="spellEnd"/>
      <w:r>
        <w:rPr>
          <w:rFonts w:ascii="Times New Roman" w:hAnsi="Times New Roman"/>
          <w:sz w:val="28"/>
          <w:szCs w:val="28"/>
        </w:rPr>
        <w:t xml:space="preserve"> («</w:t>
      </w:r>
      <w:proofErr w:type="gramStart"/>
      <w:r>
        <w:rPr>
          <w:rFonts w:ascii="Times New Roman" w:hAnsi="Times New Roman"/>
          <w:sz w:val="28"/>
          <w:szCs w:val="28"/>
        </w:rPr>
        <w:t>Чудо-соты</w:t>
      </w:r>
      <w:proofErr w:type="gram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Чудо-крестики</w:t>
      </w:r>
      <w:proofErr w:type="spellEnd"/>
      <w:r>
        <w:rPr>
          <w:rFonts w:ascii="Times New Roman" w:hAnsi="Times New Roman"/>
          <w:sz w:val="28"/>
          <w:szCs w:val="28"/>
        </w:rPr>
        <w:t>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Замок Превращений: шуты </w:t>
      </w:r>
      <w:proofErr w:type="spellStart"/>
      <w:r>
        <w:rPr>
          <w:rFonts w:ascii="Times New Roman" w:hAnsi="Times New Roman"/>
          <w:sz w:val="28"/>
          <w:szCs w:val="28"/>
        </w:rPr>
        <w:t>Дион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Дван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Трин</w:t>
      </w:r>
      <w:proofErr w:type="spellEnd"/>
      <w:r>
        <w:rPr>
          <w:rFonts w:ascii="Times New Roman" w:hAnsi="Times New Roman"/>
          <w:sz w:val="28"/>
          <w:szCs w:val="28"/>
        </w:rPr>
        <w:t xml:space="preserve"> («Квадрат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>», «Змейка»);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/>
          <w:sz w:val="28"/>
          <w:szCs w:val="28"/>
        </w:rPr>
        <w:t xml:space="preserve"> Ручей: Капитан Гусь и Лягушки-матросы (Кораблик «Плюх-Плюх», «Буль-Буль», «Брызг-Брызг»).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Сказки-задания и их добрые герои – мудрый Ворон Метр, храбрый Малыш </w:t>
      </w:r>
      <w:proofErr w:type="spellStart"/>
      <w:r>
        <w:rPr>
          <w:rFonts w:ascii="Times New Roman" w:hAnsi="Times New Roman"/>
          <w:sz w:val="28"/>
          <w:szCs w:val="28"/>
        </w:rPr>
        <w:t>Гео</w:t>
      </w:r>
      <w:proofErr w:type="spellEnd"/>
      <w:r>
        <w:rPr>
          <w:rFonts w:ascii="Times New Roman" w:hAnsi="Times New Roman"/>
          <w:sz w:val="28"/>
          <w:szCs w:val="28"/>
        </w:rPr>
        <w:t xml:space="preserve">, хитрый </w:t>
      </w:r>
      <w:proofErr w:type="spellStart"/>
      <w:r>
        <w:rPr>
          <w:rFonts w:ascii="Times New Roman" w:hAnsi="Times New Roman"/>
          <w:sz w:val="28"/>
          <w:szCs w:val="28"/>
        </w:rPr>
        <w:t>Всюсь</w:t>
      </w:r>
      <w:proofErr w:type="spellEnd"/>
      <w:r>
        <w:rPr>
          <w:rFonts w:ascii="Times New Roman" w:hAnsi="Times New Roman"/>
          <w:sz w:val="28"/>
          <w:szCs w:val="28"/>
        </w:rPr>
        <w:t xml:space="preserve">, забавный </w:t>
      </w:r>
      <w:proofErr w:type="spellStart"/>
      <w:r>
        <w:rPr>
          <w:rFonts w:ascii="Times New Roman" w:hAnsi="Times New Roman"/>
          <w:sz w:val="28"/>
          <w:szCs w:val="28"/>
        </w:rPr>
        <w:t>Магнолик</w:t>
      </w:r>
      <w:proofErr w:type="spellEnd"/>
      <w:r>
        <w:rPr>
          <w:rFonts w:ascii="Times New Roman" w:hAnsi="Times New Roman"/>
          <w:sz w:val="28"/>
          <w:szCs w:val="28"/>
        </w:rPr>
        <w:t>, сопровождая ребенка по игре, учат его не только математике, чтению, логике, но и человеческим взаимоотношениям.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1191895</wp:posOffset>
            </wp:positionV>
            <wp:extent cx="1134745" cy="1228725"/>
            <wp:effectExtent l="114300" t="38100" r="141605" b="0"/>
            <wp:wrapTight wrapText="bothSides">
              <wp:wrapPolygon edited="0">
                <wp:start x="5043" y="308"/>
                <wp:lineTo x="4695" y="5912"/>
                <wp:lineTo x="915" y="8514"/>
                <wp:lineTo x="-667" y="10951"/>
                <wp:lineTo x="131" y="20778"/>
                <wp:lineTo x="5057" y="22400"/>
                <wp:lineTo x="9630" y="21342"/>
                <wp:lineTo x="11916" y="21503"/>
                <wp:lineTo x="12268" y="21422"/>
                <wp:lineTo x="14379" y="20933"/>
                <wp:lineTo x="16489" y="20445"/>
                <wp:lineTo x="21325" y="18980"/>
                <wp:lineTo x="20885" y="18737"/>
                <wp:lineTo x="21237" y="18655"/>
                <wp:lineTo x="21410" y="13782"/>
                <wp:lineTo x="21234" y="13132"/>
                <wp:lineTo x="21318" y="7934"/>
                <wp:lineTo x="21230" y="7609"/>
                <wp:lineTo x="21315" y="2411"/>
                <wp:lineTo x="21841" y="218"/>
                <wp:lineTo x="20258" y="-106"/>
                <wp:lineTo x="7857" y="-343"/>
                <wp:lineTo x="5043" y="308"/>
              </wp:wrapPolygon>
            </wp:wrapTight>
            <wp:docPr id="3" name="Рисунок 6" descr="http://im0-tub-ru.yandex.net/i?id=482652478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0-tub-ru.yandex.net/i?id=482652478-32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597" t="5000" r="7649" b="5000"/>
                    <a:stretch>
                      <a:fillRect/>
                    </a:stretch>
                  </pic:blipFill>
                  <pic:spPr bwMode="auto">
                    <a:xfrm rot="844218">
                      <a:off x="0" y="0"/>
                      <a:ext cx="113474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Эти игры не предполагают положения взрослого над ребенком – признаются партнерские отношения. Ребенок окружается непринужденной, веселой, интеллектуально-творческой атмосферой. Она сплетается из чувства внешней безопасности, когда ребенок знает. Что его проявления не получат отрицательной оценки взрослых, и ощущение внутренней раскованности за счет поддержки его творческих начинаний. 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Знакомя детей с игрой «Двухцветный квадрат», дети имели возможность рассмотреть ее, попробовать на ощупь. При самостоятельной деятельности дети получали фигуры одного цвета, замечали, что из большой фигуры можно </w:t>
      </w:r>
      <w:r>
        <w:rPr>
          <w:rFonts w:ascii="Times New Roman" w:hAnsi="Times New Roman"/>
          <w:sz w:val="28"/>
          <w:szCs w:val="28"/>
        </w:rPr>
        <w:lastRenderedPageBreak/>
        <w:t xml:space="preserve">сложить маленькую. Этот необычный квадрат, который «оживает», может </w:t>
      </w: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393700</wp:posOffset>
            </wp:positionV>
            <wp:extent cx="1875790" cy="1707515"/>
            <wp:effectExtent l="19050" t="0" r="0" b="0"/>
            <wp:wrapTight wrapText="bothSides">
              <wp:wrapPolygon edited="0">
                <wp:start x="5703" y="482"/>
                <wp:lineTo x="4826" y="482"/>
                <wp:lineTo x="3949" y="2651"/>
                <wp:lineTo x="4387" y="8193"/>
                <wp:lineTo x="-219" y="13013"/>
                <wp:lineTo x="0" y="13977"/>
                <wp:lineTo x="7239" y="19761"/>
                <wp:lineTo x="7458" y="20483"/>
                <wp:lineTo x="11188" y="20965"/>
                <wp:lineTo x="15136" y="20965"/>
                <wp:lineTo x="16891" y="20965"/>
                <wp:lineTo x="17110" y="20965"/>
                <wp:lineTo x="18427" y="20001"/>
                <wp:lineTo x="18427" y="19761"/>
                <wp:lineTo x="19304" y="16146"/>
                <wp:lineTo x="19304" y="15905"/>
                <wp:lineTo x="21498" y="15423"/>
                <wp:lineTo x="21498" y="14218"/>
                <wp:lineTo x="21059" y="12049"/>
                <wp:lineTo x="21278" y="11808"/>
                <wp:lineTo x="19962" y="10121"/>
                <wp:lineTo x="18207" y="8193"/>
                <wp:lineTo x="18427" y="4579"/>
                <wp:lineTo x="18427" y="4338"/>
                <wp:lineTo x="17988" y="964"/>
                <wp:lineTo x="17768" y="482"/>
                <wp:lineTo x="5703" y="482"/>
              </wp:wrapPolygon>
            </wp:wrapTight>
            <wp:docPr id="4" name="Рисунок 7" descr="http://www.razvitiespelenok.ru/assets/images/Avtorskie_igrushki/Voskobovicha/larch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razvitiespelenok.ru/assets/images/Avtorskie_igrushki/Voskobovicha/larchi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9" t="3999" r="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бесконечно трансформироваться, необычайно привлек детей. 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Интересное знакомство произошло у детей с игровым комплексом  «Ларчик». При помощи волшебных веревочек дети рисовали различные фигуры на игровом поле, создавали картины. Ребята обратили внимание на такое свойство волшебных веревочек, как «липучесть».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презентации каждой игры, мы знакомим детей со сказками, с персонажами сказок, образной терминологией, подбираем задания в зависимости от возможностей и интересов детей. Ребята с удовольствием слушают сказки. Решают интеллектуальные задачи и выполняют творческие задания вместе с героями.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стараемся побуждать детей к обогащению игрового содержания, конструированию новых фигур, узоров, предметных форм. Благодаря использованию игр дети стали активнее общаться друг с другом. Все занятия проходят в виде сказок, где вопросы и задания ставит сказочный герой, которому необходимо решить какую-либо проблему.</w:t>
      </w:r>
    </w:p>
    <w:p w:rsidR="008A6134" w:rsidRDefault="008A6134" w:rsidP="008A61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удовольствием занимаются и играют в игры в самостоятельной деятельности.</w:t>
      </w:r>
    </w:p>
    <w:p w:rsidR="008A6134" w:rsidRDefault="008A6134" w:rsidP="008A6134">
      <w:pPr>
        <w:spacing w:after="0"/>
        <w:ind w:firstLine="567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1538986</wp:posOffset>
            </wp:positionH>
            <wp:positionV relativeFrom="paragraph">
              <wp:posOffset>351282</wp:posOffset>
            </wp:positionV>
            <wp:extent cx="3459988" cy="2972816"/>
            <wp:effectExtent l="952500" t="95250" r="83312" b="94234"/>
            <wp:wrapTight wrapText="bothSides">
              <wp:wrapPolygon edited="0">
                <wp:start x="-714" y="-692"/>
                <wp:lineTo x="-714" y="14810"/>
                <wp:lineTo x="-4757" y="16194"/>
                <wp:lineTo x="-5946" y="16748"/>
                <wp:lineTo x="-4043" y="19240"/>
                <wp:lineTo x="-832" y="22285"/>
                <wp:lineTo x="21407" y="22285"/>
                <wp:lineTo x="21763" y="22285"/>
                <wp:lineTo x="22120" y="21869"/>
                <wp:lineTo x="22120" y="-692"/>
                <wp:lineTo x="-714" y="-692"/>
              </wp:wrapPolygon>
            </wp:wrapTight>
            <wp:docPr id="5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:\Школа тьюторов\IMG_620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r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88" cy="2972816"/>
                    </a:xfrm>
                    <a:prstGeom prst="rect">
                      <a:avLst/>
                    </a:prstGeom>
                    <a:noFill/>
                    <a:ln w="127000" cap="rnd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747E5" w:rsidRDefault="00D747E5"/>
    <w:sectPr w:rsidR="00D747E5" w:rsidSect="008A6134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8A6134"/>
    <w:rsid w:val="008A6134"/>
    <w:rsid w:val="00D74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6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797</Words>
  <Characters>4549</Characters>
  <Application>Microsoft Office Word</Application>
  <DocSecurity>0</DocSecurity>
  <Lines>37</Lines>
  <Paragraphs>10</Paragraphs>
  <ScaleCrop>false</ScaleCrop>
  <Company>ДС 4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2017-09-08T14:54:00Z</dcterms:created>
  <dcterms:modified xsi:type="dcterms:W3CDTF">2017-09-08T14:55:00Z</dcterms:modified>
</cp:coreProperties>
</file>